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00"/>
        <w:jc w:val="center"/>
      </w:pPr>
      <w:r>
        <w:drawing>
          <wp:inline distT="0" distB="0" distL="0" distR="0">
            <wp:extent cx="4762500" cy="26765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500"/>
        <w:jc w:val="center"/>
      </w:pPr>
      <w:r>
        <w:rPr>
          <w:b/>
          <w:bCs/>
          <w:color w:val="1B7A8C"/>
          <w:sz w:val="32"/>
          <w:szCs w:val="32"/>
        </w:rPr>
        <w:t xml:space="preserve">PROGRAMA OFICIAL</w:t>
      </w:r>
    </w:p>
    <w:p>
      <w:pPr>
        <w:pBdr>
          <w:bottom w:val="single" w:color="B99B57" w:sz="8" w:space="8"/>
        </w:pBdr>
        <w:spacing w:after="300"/>
        <w:jc w:val="center"/>
      </w:pPr>
      <w:r>
        <w:rPr>
          <w:i/>
          <w:iCs/>
          <w:color w:val="1A1A1A"/>
          <w:sz w:val="24"/>
          <w:szCs w:val="24"/>
        </w:rPr>
        <w:t xml:space="preserve">La formación en Farmacia y Bioquímica hacia 2040: innovando en la enseñanza para UNA salud</w:t>
      </w:r>
    </w:p>
    <w:p>
      <w:pPr>
        <w:spacing w:after="80" w:before="400"/>
        <w:jc w:val="center"/>
      </w:pPr>
      <w:r>
        <w:rPr>
          <w:b/>
          <w:bCs/>
          <w:color w:val="1A1A1A"/>
          <w:sz w:val="26"/>
          <w:szCs w:val="26"/>
        </w:rPr>
        <w:t xml:space="preserve">16 y 17 de septiembre de 2026</w:t>
      </w:r>
    </w:p>
    <w:p>
      <w:pPr>
        <w:spacing w:after="40"/>
        <w:jc w:val="center"/>
      </w:pPr>
      <w:r>
        <w:rPr>
          <w:color w:val="1A1A1A"/>
          <w:sz w:val="22"/>
          <w:szCs w:val="22"/>
        </w:rPr>
        <w:t xml:space="preserve">Facultad de Ciencias Exactas y Naturales y Agrimensura (FaCENA) - UNNE</w:t>
      </w:r>
    </w:p>
    <w:p>
      <w:pPr>
        <w:spacing w:after="40"/>
        <w:jc w:val="center"/>
      </w:pPr>
      <w:r>
        <w:rPr>
          <w:color w:val="1A1A1A"/>
          <w:sz w:val="22"/>
          <w:szCs w:val="22"/>
        </w:rPr>
        <w:t xml:space="preserve">Corrientes Capital, Argentina</w:t>
      </w:r>
    </w:p>
    <w:p>
      <w:pPr>
        <w:spacing w:after="500" w:before="60"/>
        <w:jc w:val="center"/>
      </w:pPr>
      <w:r>
        <w:rPr>
          <w:b/>
          <w:bCs/>
          <w:color w:val="5A3E85"/>
          <w:sz w:val="20"/>
          <w:szCs w:val="20"/>
        </w:rPr>
        <w:t xml:space="preserve">ECUAFyB · FaCENA · UNNE</w:t>
      </w:r>
    </w:p>
    <w:p>
      <w:pPr>
        <w:pageBreakBefore/>
      </w:pPr>
    </w:p>
    <w:p>
      <w:pPr>
        <w:sectPr>
          <w:pgSz w:w="12240" w:h="15840" w:orient="portrait"/>
          <w:pgMar w:top="900" w:right="900" w:bottom="900" w:left="900" w:header="708" w:footer="708" w:gutter="0"/>
          <w:pgNumType/>
          <w:docGrid w:linePitch="360"/>
        </w:sectPr>
      </w:pP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7A8C" w:color="auto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MIÉRCOLES 16 DE SEPTIEMBRE</w:t>
            </w:r>
          </w:p>
        </w:tc>
      </w:tr>
    </w:tbl>
    <w:p>
      <w:pPr>
        <w:spacing w:after="150"/>
      </w:pP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50"/>
      </w:tblGrid>
      <w:tr>
        <w:trPr>
          <w:cantSplit/>
        </w:trPr>
        <w:tc>
          <w:tcPr>
            <w:tcW w:type="dxa" w:w="1500"/>
            <w:tcBorders>
              <w:top w:val="single" w:color="1B7A8C" w:sz="4"/>
              <w:left w:val="single" w:color="1B7A8C" w:sz="4"/>
              <w:bottom w:val="single" w:color="1B7A8C" w:sz="4"/>
              <w:right w:val="single" w:color="1B7A8C" w:sz="4"/>
            </w:tcBorders>
            <w:shd w:fill="1B7A8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11:00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ACREDITACIÓN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B99B57" w:sz="4"/>
              <w:left w:val="single" w:color="B99B57" w:sz="4"/>
              <w:bottom w:val="single" w:color="B99B57" w:sz="4"/>
              <w:right w:val="single" w:color="B99B57" w:sz="4"/>
            </w:tcBorders>
            <w:shd w:fill="B99B57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12:00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ACTO DE APERTURA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Decano UNNE  ·  Presidencia ECUAFyB  ·  Rector UNNE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B99B57" w:sz="4"/>
              <w:left w:val="single" w:color="B99B57" w:sz="4"/>
              <w:bottom w:val="single" w:color="B99B57" w:sz="4"/>
              <w:right w:val="single" w:color="B99B57" w:sz="4"/>
            </w:tcBorders>
            <w:shd w:fill="B99B57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12:30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CONFERENCIA (actividad virtual)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i w:val="false"/>
                <w:iCs w:val="false"/>
                <w:color w:val="1B7A8C"/>
                <w:sz w:val="21"/>
                <w:szCs w:val="21"/>
              </w:rPr>
              <w:t xml:space="preserve">La evaluación en la educación superior presente y futura</w:t>
            </w:r>
          </w:p>
          <w:p>
            <w:pPr>
              <w:spacing w:after="60"/>
            </w:pPr>
            <w:r>
              <w:rPr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Disertante: Mgter. Rebeca Anijovich, destacada pedagoga, investigadora y escritora argentina, reconocida internacionalmente como una de las mayores referentes en evaluación formativa, formación docente y diseño de aulas heterogéneas. Profesora en Ciencias de la Educación y Psicología. Magíster en Formación de Formadores (UBA).</w:t>
            </w:r>
          </w:p>
          <w:p>
            <w:pPr>
              <w:spacing w:after="60"/>
            </w:pPr>
            <w:r>
              <w:rPr>
                <w:b w:val="false"/>
                <w:bCs w:val="false"/>
                <w:i/>
                <w:iCs/>
                <w:color w:val="1A1A1A"/>
                <w:sz w:val="19"/>
                <w:szCs w:val="19"/>
              </w:rPr>
              <w:t xml:space="preserve">Coordinador/a: a definir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1B7A8C" w:sz="4"/>
              <w:left w:val="single" w:color="1B7A8C" w:sz="4"/>
              <w:bottom w:val="single" w:color="1B7A8C" w:sz="4"/>
              <w:right w:val="single" w:color="1B7A8C" w:sz="4"/>
            </w:tcBorders>
            <w:shd w:fill="1B7A8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13:15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1ª EXPOSICIÓN DE PÓSTERS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Enseñanza en las Áreas de Formación Básica y de Formación Biomédica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5A3E85" w:sz="4"/>
              <w:left w:val="single" w:color="5A3E85" w:sz="4"/>
              <w:bottom w:val="single" w:color="5A3E85" w:sz="4"/>
              <w:right w:val="single" w:color="5A3E85" w:sz="4"/>
            </w:tcBorders>
            <w:shd w:fill="5A3E8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16:15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RECESO – COFFEE BREAK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B99B57" w:sz="4"/>
              <w:left w:val="single" w:color="B99B57" w:sz="4"/>
              <w:bottom w:val="single" w:color="B99B57" w:sz="4"/>
              <w:right w:val="single" w:color="B99B57" w:sz="4"/>
            </w:tcBorders>
            <w:shd w:fill="B99B57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16:30 a 18:30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MESA – TALLER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i w:val="false"/>
                <w:iCs w:val="false"/>
                <w:color w:val="1B7A8C"/>
                <w:sz w:val="21"/>
                <w:szCs w:val="21"/>
              </w:rPr>
              <w:t xml:space="preserve">Enseñar farmacia y bioquímica en tiempos de transformación bio-digital</w:t>
            </w:r>
          </w:p>
          <w:p>
            <w:pPr>
              <w:spacing w:after="60"/>
            </w:pPr>
            <w:r>
              <w:rPr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Disertantes: Dra. Laura Bonofiglio, bioquímica e investigadora argentina, Doctora en Microbiología, con desempeño en el ámbito científico y educativo superior de la Ciudad de Buenos Aires. Dra. Karina Edith Alleva, bioquímica, científica y educadora argentina, reconocida por sus investigaciones en biofísica de acuaporinas.</w:t>
            </w:r>
          </w:p>
          <w:p>
            <w:pPr>
              <w:spacing w:after="60"/>
            </w:pPr>
            <w:r>
              <w:rPr>
                <w:b w:val="false"/>
                <w:bCs w:val="false"/>
                <w:i/>
                <w:iCs/>
                <w:color w:val="1A1A1A"/>
                <w:sz w:val="19"/>
                <w:szCs w:val="19"/>
              </w:rPr>
              <w:t xml:space="preserve">Coordinador/a: a definir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1B7A8C" w:sz="4"/>
              <w:left w:val="single" w:color="1B7A8C" w:sz="4"/>
              <w:bottom w:val="single" w:color="1B7A8C" w:sz="4"/>
              <w:right w:val="single" w:color="1B7A8C" w:sz="4"/>
            </w:tcBorders>
            <w:shd w:fill="1B7A8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19:30 a 23:00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CÓCTEL DE BIENVENIDA</w:t>
            </w:r>
          </w:p>
        </w:tc>
      </w:tr>
    </w:tbl>
    <w:p>
      <w:pPr>
        <w:pageBreakBefore/>
        <w:spacing w:after="300"/>
      </w:pP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7A8C" w:color="auto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JUEVES 17 DE SEPTIEMBRE</w:t>
            </w:r>
          </w:p>
        </w:tc>
      </w:tr>
    </w:tbl>
    <w:p>
      <w:pPr>
        <w:spacing w:after="150"/>
      </w:pP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50"/>
      </w:tblGrid>
      <w:tr>
        <w:trPr>
          <w:cantSplit/>
        </w:trPr>
        <w:tc>
          <w:tcPr>
            <w:tcW w:type="dxa" w:w="1500"/>
            <w:tcBorders>
              <w:top w:val="single" w:color="B99B57" w:sz="4"/>
              <w:left w:val="single" w:color="B99B57" w:sz="4"/>
              <w:bottom w:val="single" w:color="B99B57" w:sz="4"/>
              <w:right w:val="single" w:color="B99B57" w:sz="4"/>
            </w:tcBorders>
            <w:shd w:fill="B99B57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8:30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MESA REDONDA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i w:val="false"/>
                <w:iCs w:val="false"/>
                <w:color w:val="1B7A8C"/>
                <w:sz w:val="21"/>
                <w:szCs w:val="21"/>
              </w:rPr>
              <w:t xml:space="preserve">Del aula al desempeño profesional: demandas en el ámbito laboral bioquímico y farmacéutico</w:t>
            </w:r>
          </w:p>
          <w:p>
            <w:pPr>
              <w:spacing w:after="60"/>
            </w:pPr>
            <w:r>
              <w:rPr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Representantes de las entidades profesionales de Farmacia y de Bioquímica: ABA, CUBRA, CCBqcos., FBA, FEFARA, COFA, SAFyBI y AAFH.</w:t>
            </w:r>
          </w:p>
          <w:p>
            <w:pPr>
              <w:spacing w:after="60"/>
            </w:pPr>
            <w:r>
              <w:rPr>
                <w:b w:val="false"/>
                <w:bCs w:val="false"/>
                <w:i/>
                <w:iCs/>
                <w:color w:val="1A1A1A"/>
                <w:sz w:val="19"/>
                <w:szCs w:val="19"/>
              </w:rPr>
              <w:t xml:space="preserve">Moderadores: Comité Ejecutivo de ECUAFyB (a definir)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5A3E85" w:sz="4"/>
              <w:left w:val="single" w:color="5A3E85" w:sz="4"/>
              <w:bottom w:val="single" w:color="5A3E85" w:sz="4"/>
              <w:right w:val="single" w:color="5A3E85" w:sz="4"/>
            </w:tcBorders>
            <w:shd w:fill="5A3E8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9:45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RECESO – COFFEE BREAK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B99B57" w:sz="4"/>
              <w:left w:val="single" w:color="B99B57" w:sz="4"/>
              <w:bottom w:val="single" w:color="B99B57" w:sz="4"/>
              <w:right w:val="single" w:color="B99B57" w:sz="4"/>
            </w:tcBorders>
            <w:shd w:fill="B99B57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10:00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TALLER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i w:val="false"/>
                <w:iCs w:val="false"/>
                <w:color w:val="1B7A8C"/>
                <w:sz w:val="21"/>
                <w:szCs w:val="21"/>
              </w:rPr>
              <w:t xml:space="preserve">Habilidades blandas: herramientas para el trabajo en equipo</w:t>
            </w:r>
          </w:p>
          <w:p>
            <w:pPr>
              <w:spacing w:after="60"/>
            </w:pPr>
            <w:r>
              <w:rPr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Disertante: Lic. Valeria Milchior, Psicóloga, Capacitadora, Especialista en gestión de la experiencia del cliente y venta profesional. Formación integral en Farmacias. Integrante del equipo docente de Sinergia, centro de formación farmacéutica de Laboratorios Roemmers.</w:t>
            </w:r>
          </w:p>
          <w:p>
            <w:pPr>
              <w:spacing w:after="60"/>
            </w:pPr>
            <w:r>
              <w:rPr>
                <w:b w:val="false"/>
                <w:bCs w:val="false"/>
                <w:i/>
                <w:iCs/>
                <w:color w:val="1A1A1A"/>
                <w:sz w:val="19"/>
                <w:szCs w:val="19"/>
              </w:rPr>
              <w:t xml:space="preserve">Coordinador/a: a definir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1B7A8C" w:sz="4"/>
              <w:left w:val="single" w:color="1B7A8C" w:sz="4"/>
              <w:bottom w:val="single" w:color="1B7A8C" w:sz="4"/>
              <w:right w:val="single" w:color="1B7A8C" w:sz="4"/>
            </w:tcBorders>
            <w:shd w:fill="1B7A8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12:00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ALMUERZO LIBRE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1B7A8C" w:sz="4"/>
              <w:left w:val="single" w:color="1B7A8C" w:sz="4"/>
              <w:bottom w:val="single" w:color="1B7A8C" w:sz="4"/>
              <w:right w:val="single" w:color="1B7A8C" w:sz="4"/>
            </w:tcBorders>
            <w:shd w:fill="1B7A8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13:00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2ª EXPOSICIÓN DE PÓSTERS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Enseñanza en el Área de Formación Profesional de las carreras de Bioquímica y Farmacia. Otros trabajos.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5A3E85" w:sz="4"/>
              <w:left w:val="single" w:color="5A3E85" w:sz="4"/>
              <w:bottom w:val="single" w:color="5A3E85" w:sz="4"/>
              <w:right w:val="single" w:color="5A3E85" w:sz="4"/>
            </w:tcBorders>
            <w:shd w:fill="5A3E8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16:00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RECESO – COFFEE BREAK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B99B57" w:sz="4"/>
              <w:left w:val="single" w:color="B99B57" w:sz="4"/>
              <w:bottom w:val="single" w:color="B99B57" w:sz="4"/>
              <w:right w:val="single" w:color="B99B57" w:sz="4"/>
            </w:tcBorders>
            <w:shd w:fill="B99B57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16:15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CONFERENCIA / TALLER DE CIERRE</w:t>
            </w:r>
          </w:p>
        </w:tc>
      </w:tr>
      <w:tr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F2" w:color="auto" w:val="clear"/>
          </w:tcPr>
          <w:p/>
        </w:tc>
        <w:tc>
          <w:tcPr>
            <w:tcW w:type="dxa" w:w="78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FFFFF" w:color="auto" w:val="clear"/>
            <w:tcMar>
              <w:top w:type="dxa" w:w="10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i w:val="false"/>
                <w:iCs w:val="false"/>
                <w:color w:val="1B7A8C"/>
                <w:sz w:val="21"/>
                <w:szCs w:val="21"/>
              </w:rPr>
              <w:t xml:space="preserve">Hacia 2040: Taller Práctico para el Ejercicio Profesional en Farmacia y Bioquímica aplicando el enfoque innovador de la Inteligencia Artificial</w:t>
            </w:r>
          </w:p>
          <w:p>
            <w:pPr>
              <w:spacing w:after="60"/>
            </w:pPr>
            <w:r>
              <w:rPr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Disertantes: Mg. Martín Silveira (Farmacéutico), especialista argentino en Farmacia Hospitalaria y Magíster en Logística. Más de 20 años de experiencia; se desempeña en el Hospital Italiano de Buenos Aires y es consultor en logística farmacéutica en Latinoamérica.</w:t>
            </w:r>
          </w:p>
          <w:p>
            <w:pPr>
              <w:spacing w:after="60"/>
            </w:pPr>
            <w:r>
              <w:rPr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Claudio Bonel (Farmacéutico), Director Técnico del Instituto Nacional de Producción de Biológicos (INPB), ANLIS "Dr. Carlos G. Malbrán". Magíster en Dirección Estratégica y Tecnológica (ITBA / EOI España); especialista en Asuntos Regulatorios de Medicamentos (UBA).</w:t>
            </w:r>
          </w:p>
          <w:p>
            <w:pPr>
              <w:spacing w:after="60"/>
            </w:pPr>
            <w:r>
              <w:rPr>
                <w:b w:val="false"/>
                <w:bCs w:val="false"/>
                <w:i/>
                <w:iCs/>
                <w:color w:val="1A1A1A"/>
                <w:sz w:val="19"/>
                <w:szCs w:val="19"/>
              </w:rPr>
              <w:t xml:space="preserve">Coordinador/a: a definir</w:t>
            </w:r>
          </w:p>
        </w:tc>
      </w:tr>
      <w:tr>
        <w:tc>
          <w:tcPr>
            <w:tcW w:type="dxa" w:w="935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/>
        </w:tc>
      </w:tr>
      <w:tr>
        <w:trPr>
          <w:cantSplit/>
        </w:trPr>
        <w:tc>
          <w:tcPr>
            <w:tcW w:type="dxa" w:w="1500"/>
            <w:tcBorders>
              <w:top w:val="single" w:color="1B7A8C" w:sz="4"/>
              <w:left w:val="single" w:color="1B7A8C" w:sz="4"/>
              <w:bottom w:val="single" w:color="1B7A8C" w:sz="4"/>
              <w:right w:val="single" w:color="1B7A8C" w:sz="4"/>
            </w:tcBorders>
            <w:shd w:fill="1B7A8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17:45</w:t>
            </w:r>
          </w:p>
        </w:tc>
        <w:tc>
          <w:tcPr>
            <w:tcW w:type="dxa" w:w="7850"/>
            <w:tcBorders>
              <w:top w:val="single" w:color="E8D9B0" w:sz="4"/>
              <w:left w:val="single" w:color="E8D9B0" w:sz="4"/>
              <w:bottom w:val="single" w:color="E8D9B0" w:sz="4"/>
              <w:right w:val="single" w:color="E8D9B0" w:sz="4"/>
            </w:tcBorders>
            <w:shd w:fill="FDF6E8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b/>
                <w:bCs/>
                <w:color w:val="1A1A1A"/>
                <w:sz w:val="22"/>
                <w:szCs w:val="22"/>
              </w:rPr>
              <w:t xml:space="preserve">ENTREGA DE MENCIONES</w:t>
            </w:r>
          </w:p>
        </w:tc>
      </w:tr>
    </w:tbl>
    <w:p>
      <w:pPr>
        <w:spacing w:before="500"/>
      </w:pPr>
    </w:p>
    <w:p>
      <w:pPr>
        <w:spacing w:before="300"/>
        <w:jc w:val="right"/>
      </w:pPr>
      <w:r>
        <w:rPr>
          <w:b/>
          <w:bCs/>
          <w:i/>
          <w:iCs/>
          <w:color w:val="1A1A1A"/>
          <w:sz w:val="22"/>
          <w:szCs w:val="22"/>
        </w:rPr>
        <w:t xml:space="preserve">Comité Académico</w:t>
      </w:r>
    </w:p>
    <w:sectPr>
      <w:headerReference w:type="default" r:id="rId7"/>
      <w:footerReference w:type="default" r:id="rId8"/>
      <w:pgSz w:w="12240" w:h="15840" w:orient="portrait"/>
      <w:pgMar w:top="1000" w:right="900" w:bottom="10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C8C8C"/>
        <w:sz w:val="16"/>
        <w:szCs w:val="16"/>
      </w:rPr>
      <w:t xml:space="preserve">ECUAFyB · FaCENA · UNNE — Corrientes, Argentina  |  Página </w:t>
    </w:r>
    <w:r>
      <w:rPr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C8C8C"/>
        <w:sz w:val="16"/>
        <w:szCs w:val="16"/>
      </w:rPr>
      <w:t xml:space="preserve">IV Jornadas Nacionales de Enseñanza de Farmacia y Bioquímica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7a36c2314b53f237405befb36ce271e176e21b9.jp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2026-07-08T14:23:53.679Z</dcterms:created>
  <dcterms:modified xsi:type="dcterms:W3CDTF">2026-07-08T14:23:53.680Z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